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附件</w:t>
      </w:r>
      <w:r>
        <w:rPr>
          <w:rFonts w:hint="eastAsia" w:ascii="Times New Roman" w:hAnsi="Times New Roman" w:eastAsia="黑体" w:cs="Times New Roman"/>
          <w:color w:val="000000" w:themeColor="text1"/>
          <w:sz w:val="32"/>
          <w:szCs w:val="32"/>
          <w14:textFill>
            <w14:solidFill>
              <w14:schemeClr w14:val="tx1"/>
            </w14:solidFill>
          </w14:textFill>
        </w:rPr>
        <w:t>1</w:t>
      </w:r>
    </w:p>
    <w:p>
      <w:pPr>
        <w:spacing w:line="560" w:lineRule="exact"/>
        <w:rPr>
          <w:rFonts w:ascii="黑体" w:hAnsi="黑体" w:eastAsia="黑体" w:cs="Times New Roman"/>
          <w:color w:val="000000" w:themeColor="text1"/>
          <w:sz w:val="32"/>
          <w:szCs w:val="32"/>
          <w14:textFill>
            <w14:solidFill>
              <w14:schemeClr w14:val="tx1"/>
            </w14:solidFill>
          </w14:textFill>
        </w:rPr>
      </w:pPr>
    </w:p>
    <w:p>
      <w:pPr>
        <w:spacing w:line="560" w:lineRule="exact"/>
        <w:jc w:val="center"/>
        <w:rPr>
          <w:rFonts w:hint="eastAsia" w:ascii="方正小标宋简体" w:hAnsi="黑体"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2023</w:t>
      </w:r>
      <w:r>
        <w:rPr>
          <w:rFonts w:hint="eastAsia" w:ascii="华文中宋" w:hAnsi="华文中宋" w:eastAsia="华文中宋" w:cs="Times New Roman"/>
          <w:sz w:val="44"/>
          <w:szCs w:val="44"/>
        </w:rPr>
        <w:t>～</w:t>
      </w:r>
      <w:r>
        <w:rPr>
          <w:rFonts w:ascii="Times New Roman" w:hAnsi="Times New Roman" w:eastAsia="方正小标宋简体" w:cs="Times New Roman"/>
          <w:color w:val="000000" w:themeColor="text1"/>
          <w:sz w:val="44"/>
          <w:szCs w:val="44"/>
          <w14:textFill>
            <w14:solidFill>
              <w14:schemeClr w14:val="tx1"/>
            </w14:solidFill>
          </w14:textFill>
        </w:rPr>
        <w:t>2024</w:t>
      </w:r>
      <w:r>
        <w:rPr>
          <w:rFonts w:hint="eastAsia" w:ascii="方正小标宋简体" w:hAnsi="黑体" w:eastAsia="方正小标宋简体" w:cs="Times New Roman"/>
          <w:color w:val="000000" w:themeColor="text1"/>
          <w:sz w:val="44"/>
          <w:szCs w:val="44"/>
          <w14:textFill>
            <w14:solidFill>
              <w14:schemeClr w14:val="tx1"/>
            </w14:solidFill>
          </w14:textFill>
        </w:rPr>
        <w:t>年度江苏省教育学会与江苏教育报刊总社联合管理课题（第一批）</w:t>
      </w:r>
    </w:p>
    <w:p>
      <w:pPr>
        <w:spacing w:line="560" w:lineRule="exact"/>
        <w:jc w:val="center"/>
        <w:rPr>
          <w:rFonts w:ascii="方正小标宋简体" w:hAnsi="黑体" w:eastAsia="方正小标宋简体" w:cs="Times New Roman"/>
          <w:color w:val="000000" w:themeColor="text1"/>
          <w:sz w:val="44"/>
          <w:szCs w:val="44"/>
          <w14:textFill>
            <w14:solidFill>
              <w14:schemeClr w14:val="tx1"/>
            </w14:solidFill>
          </w14:textFill>
        </w:rPr>
      </w:pPr>
      <w:r>
        <w:rPr>
          <w:rFonts w:hint="eastAsia" w:ascii="方正小标宋简体" w:hAnsi="黑体" w:eastAsia="方正小标宋简体" w:cs="Times New Roman"/>
          <w:color w:val="000000" w:themeColor="text1"/>
          <w:sz w:val="44"/>
          <w:szCs w:val="44"/>
          <w14:textFill>
            <w14:solidFill>
              <w14:schemeClr w14:val="tx1"/>
            </w14:solidFill>
          </w14:textFill>
        </w:rPr>
        <w:t>申报指南</w:t>
      </w:r>
    </w:p>
    <w:p>
      <w:pPr>
        <w:spacing w:line="560" w:lineRule="exact"/>
        <w:jc w:val="center"/>
        <w:rPr>
          <w:rFonts w:ascii="方正小标宋简体" w:hAnsi="黑体" w:eastAsia="方正小标宋简体" w:cs="Times New Roman"/>
          <w:color w:val="000000" w:themeColor="text1"/>
          <w:sz w:val="44"/>
          <w:szCs w:val="44"/>
          <w14:textFill>
            <w14:solidFill>
              <w14:schemeClr w14:val="tx1"/>
            </w14:solidFill>
          </w14:textFill>
        </w:rPr>
      </w:pP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依据《江苏省教育学会与江苏教育报刊总社联合开展课题研究工作实施方案》，</w:t>
      </w:r>
      <w:r>
        <w:rPr>
          <w:rFonts w:ascii="Times New Roman" w:hAnsi="Times New Roman" w:eastAsia="仿宋_GB2312" w:cs="Times New Roman"/>
          <w:color w:val="000000" w:themeColor="text1"/>
          <w:spacing w:val="-4"/>
          <w:sz w:val="32"/>
          <w:szCs w:val="32"/>
          <w14:textFill>
            <w14:solidFill>
              <w14:schemeClr w14:val="tx1"/>
            </w14:solidFill>
          </w14:textFill>
        </w:rPr>
        <w:t>2023</w:t>
      </w:r>
      <w:r>
        <w:rPr>
          <w:rFonts w:hint="eastAsia" w:ascii="华文中宋" w:hAnsi="华文中宋" w:eastAsia="华文中宋" w:cs="Times New Roman"/>
          <w:sz w:val="32"/>
          <w:szCs w:val="32"/>
        </w:rPr>
        <w:t>～</w:t>
      </w:r>
      <w:r>
        <w:rPr>
          <w:rFonts w:ascii="Times New Roman" w:hAnsi="Times New Roman" w:eastAsia="仿宋_GB2312" w:cs="Times New Roman"/>
          <w:color w:val="000000" w:themeColor="text1"/>
          <w:spacing w:val="-4"/>
          <w:sz w:val="32"/>
          <w:szCs w:val="32"/>
          <w14:textFill>
            <w14:solidFill>
              <w14:schemeClr w14:val="tx1"/>
            </w14:solidFill>
          </w14:textFill>
        </w:rPr>
        <w:t>2024</w:t>
      </w:r>
      <w:r>
        <w:rPr>
          <w:rFonts w:hint="eastAsia" w:ascii="Times New Roman" w:hAnsi="Times New Roman" w:eastAsia="仿宋_GB2312" w:cs="Times New Roman"/>
          <w:color w:val="000000" w:themeColor="text1"/>
          <w:spacing w:val="-4"/>
          <w:sz w:val="32"/>
          <w:szCs w:val="32"/>
          <w14:textFill>
            <w14:solidFill>
              <w14:schemeClr w14:val="tx1"/>
            </w14:solidFill>
          </w14:textFill>
        </w:rPr>
        <w:t>年江苏省教育学会与江苏教育报刊总社联合开展课题研究项目为专项课题，共计</w:t>
      </w:r>
      <w:r>
        <w:rPr>
          <w:rFonts w:ascii="Times New Roman" w:hAnsi="Times New Roman" w:eastAsia="仿宋_GB2312" w:cs="Times New Roman"/>
          <w:color w:val="000000" w:themeColor="text1"/>
          <w:spacing w:val="-4"/>
          <w:sz w:val="32"/>
          <w:szCs w:val="32"/>
          <w14:textFill>
            <w14:solidFill>
              <w14:schemeClr w14:val="tx1"/>
            </w14:solidFill>
          </w14:textFill>
        </w:rPr>
        <w:t>19</w:t>
      </w:r>
      <w:r>
        <w:rPr>
          <w:rFonts w:hint="eastAsia" w:ascii="Times New Roman" w:hAnsi="Times New Roman" w:eastAsia="仿宋_GB2312" w:cs="Times New Roman"/>
          <w:color w:val="000000" w:themeColor="text1"/>
          <w:spacing w:val="-4"/>
          <w:sz w:val="32"/>
          <w:szCs w:val="32"/>
          <w14:textFill>
            <w14:solidFill>
              <w14:schemeClr w14:val="tx1"/>
            </w14:solidFill>
          </w14:textFill>
        </w:rPr>
        <w:t>项。其中，</w:t>
      </w:r>
      <w:r>
        <w:rPr>
          <w:rFonts w:ascii="Times New Roman" w:hAnsi="Times New Roman" w:eastAsia="仿宋_GB2312" w:cs="Times New Roman"/>
          <w:color w:val="000000" w:themeColor="text1"/>
          <w:spacing w:val="-4"/>
          <w:sz w:val="32"/>
          <w:szCs w:val="32"/>
          <w14:textFill>
            <w14:solidFill>
              <w14:schemeClr w14:val="tx1"/>
            </w14:solidFill>
          </w14:textFill>
        </w:rPr>
        <w:t>4</w:t>
      </w:r>
      <w:r>
        <w:rPr>
          <w:rFonts w:hint="eastAsia" w:ascii="Times New Roman" w:hAnsi="Times New Roman" w:eastAsia="仿宋_GB2312" w:cs="Times New Roman"/>
          <w:color w:val="000000" w:themeColor="text1"/>
          <w:spacing w:val="-4"/>
          <w:sz w:val="32"/>
          <w:szCs w:val="32"/>
          <w14:textFill>
            <w14:solidFill>
              <w14:schemeClr w14:val="tx1"/>
            </w14:solidFill>
          </w14:textFill>
        </w:rPr>
        <w:t>项为重点课题，两年结项；</w:t>
      </w:r>
      <w:r>
        <w:rPr>
          <w:rFonts w:ascii="Times New Roman" w:hAnsi="Times New Roman" w:eastAsia="仿宋_GB2312" w:cs="Times New Roman"/>
          <w:color w:val="000000" w:themeColor="text1"/>
          <w:spacing w:val="-4"/>
          <w:sz w:val="32"/>
          <w:szCs w:val="32"/>
          <w14:textFill>
            <w14:solidFill>
              <w14:schemeClr w14:val="tx1"/>
            </w14:solidFill>
          </w14:textFill>
        </w:rPr>
        <w:t>15</w:t>
      </w:r>
      <w:r>
        <w:rPr>
          <w:rFonts w:hint="eastAsia" w:ascii="Times New Roman" w:hAnsi="Times New Roman" w:eastAsia="仿宋_GB2312" w:cs="Times New Roman"/>
          <w:color w:val="000000" w:themeColor="text1"/>
          <w:spacing w:val="-4"/>
          <w:sz w:val="32"/>
          <w:szCs w:val="32"/>
          <w14:textFill>
            <w14:solidFill>
              <w14:schemeClr w14:val="tx1"/>
            </w14:solidFill>
          </w14:textFill>
        </w:rPr>
        <w:t>项为一般课题，一年结项。</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联合开展课题研究方向和参考课题名目如下（其中标</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为重点课题）：</w:t>
      </w:r>
    </w:p>
    <w:p>
      <w:pPr>
        <w:spacing w:line="56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方向一：新课程改革与育人方式变革</w:t>
      </w: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ascii="Times New Roman" w:hAnsi="Times New Roman" w:eastAsia="仿宋_GB2312" w:cs="Times New Roman"/>
          <w:color w:val="000000" w:themeColor="text1"/>
          <w:spacing w:val="-4"/>
          <w:sz w:val="32"/>
          <w:szCs w:val="32"/>
          <w14:textFill>
            <w14:solidFill>
              <w14:schemeClr w14:val="tx1"/>
            </w14:solidFill>
          </w14:textFill>
        </w:rPr>
        <w:t>2022</w:t>
      </w:r>
      <w:r>
        <w:rPr>
          <w:rFonts w:hint="eastAsia" w:ascii="Times New Roman" w:hAnsi="Times New Roman" w:eastAsia="仿宋_GB2312" w:cs="Times New Roman"/>
          <w:color w:val="000000" w:themeColor="text1"/>
          <w:spacing w:val="-4"/>
          <w:sz w:val="32"/>
          <w:szCs w:val="32"/>
          <w14:textFill>
            <w14:solidFill>
              <w14:schemeClr w14:val="tx1"/>
            </w14:solidFill>
          </w14:textFill>
        </w:rPr>
        <w:t>年</w:t>
      </w:r>
      <w:r>
        <w:rPr>
          <w:rFonts w:ascii="Times New Roman" w:hAnsi="Times New Roman" w:eastAsia="仿宋_GB2312" w:cs="Times New Roman"/>
          <w:color w:val="000000" w:themeColor="text1"/>
          <w:spacing w:val="-4"/>
          <w:sz w:val="32"/>
          <w:szCs w:val="32"/>
          <w14:textFill>
            <w14:solidFill>
              <w14:schemeClr w14:val="tx1"/>
            </w14:solidFill>
          </w14:textFill>
        </w:rPr>
        <w:t>4</w:t>
      </w:r>
      <w:r>
        <w:rPr>
          <w:rFonts w:hint="eastAsia" w:ascii="Times New Roman" w:hAnsi="Times New Roman" w:eastAsia="仿宋_GB2312" w:cs="Times New Roman"/>
          <w:color w:val="000000" w:themeColor="text1"/>
          <w:spacing w:val="-4"/>
          <w:sz w:val="32"/>
          <w:szCs w:val="32"/>
          <w14:textFill>
            <w14:solidFill>
              <w14:schemeClr w14:val="tx1"/>
            </w14:solidFill>
          </w14:textFill>
        </w:rPr>
        <w:t>月，教育部新版义务教育课程方案和</w:t>
      </w:r>
      <w:r>
        <w:rPr>
          <w:rFonts w:ascii="Times New Roman" w:hAnsi="Times New Roman" w:eastAsia="仿宋_GB2312" w:cs="Times New Roman"/>
          <w:color w:val="000000" w:themeColor="text1"/>
          <w:spacing w:val="-4"/>
          <w:sz w:val="32"/>
          <w:szCs w:val="32"/>
          <w14:textFill>
            <w14:solidFill>
              <w14:schemeClr w14:val="tx1"/>
            </w14:solidFill>
          </w14:textFill>
        </w:rPr>
        <w:t>16</w:t>
      </w:r>
      <w:r>
        <w:rPr>
          <w:rFonts w:hint="eastAsia" w:ascii="Times New Roman" w:hAnsi="Times New Roman" w:eastAsia="仿宋_GB2312" w:cs="Times New Roman"/>
          <w:color w:val="000000" w:themeColor="text1"/>
          <w:spacing w:val="-4"/>
          <w:sz w:val="32"/>
          <w:szCs w:val="32"/>
          <w14:textFill>
            <w14:solidFill>
              <w14:schemeClr w14:val="tx1"/>
            </w14:solidFill>
          </w14:textFill>
        </w:rPr>
        <w:t>门学科的课程标准对义务教育阶段的课程与教学进行了新的制度设计。新课程改革以贯彻“课程育人”新理念为核心追求，通过引领育人方式变革，促进学生核心素养发展，最终实现立德树人根本任务。该方向课题重在探索新课标、新理念背景下，基于江苏教育改革发展历史经验的新课改实施路径和推进逻辑，以推动“建构高质量教育体系”和“人的全面发展”为指向，聚焦核心素养提升、学习方式变革，探讨如何在新的时代背景下完善课程体系，创新育人方式，更系统更深入更有效地完成“立德树人”根本任务。</w:t>
      </w: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参考课题如下：</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新课程、新教材实施与应用现状研究</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新课程育人体系和实践路径研究</w:t>
      </w:r>
      <w:r>
        <w:rPr>
          <w:rFonts w:ascii="Times New Roman" w:hAnsi="Times New Roman" w:eastAsia="仿宋_GB2312"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指向综合育人的课程体系建构与实施研究</w:t>
      </w:r>
    </w:p>
    <w:p>
      <w:pPr>
        <w:spacing w:line="56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方向二：教师队伍建设与教师专业成长</w:t>
      </w: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教师是教育的第一资源，是建设高质量教育体系、实施高质量教育的根本力量。党的二十大报告作出“加强师德师风建设，培养高素质教师队伍，弘扬尊师重教社会风尚”的战略部署。</w:t>
      </w:r>
      <w:r>
        <w:rPr>
          <w:rFonts w:ascii="Times New Roman" w:hAnsi="Times New Roman" w:eastAsia="仿宋_GB2312" w:cs="Times New Roman"/>
          <w:color w:val="000000" w:themeColor="text1"/>
          <w:spacing w:val="-4"/>
          <w:sz w:val="32"/>
          <w:szCs w:val="32"/>
          <w14:textFill>
            <w14:solidFill>
              <w14:schemeClr w14:val="tx1"/>
            </w14:solidFill>
          </w14:textFill>
        </w:rPr>
        <w:t>2022</w:t>
      </w:r>
      <w:r>
        <w:rPr>
          <w:rFonts w:hint="eastAsia" w:ascii="Times New Roman" w:hAnsi="Times New Roman" w:eastAsia="仿宋_GB2312" w:cs="Times New Roman"/>
          <w:color w:val="000000" w:themeColor="text1"/>
          <w:spacing w:val="-4"/>
          <w:sz w:val="32"/>
          <w:szCs w:val="32"/>
          <w14:textFill>
            <w14:solidFill>
              <w14:schemeClr w14:val="tx1"/>
            </w14:solidFill>
          </w14:textFill>
        </w:rPr>
        <w:t>年</w:t>
      </w:r>
      <w:r>
        <w:rPr>
          <w:rFonts w:ascii="Times New Roman" w:hAnsi="Times New Roman" w:eastAsia="仿宋_GB2312" w:cs="Times New Roman"/>
          <w:color w:val="000000" w:themeColor="text1"/>
          <w:spacing w:val="-4"/>
          <w:sz w:val="32"/>
          <w:szCs w:val="32"/>
          <w14:textFill>
            <w14:solidFill>
              <w14:schemeClr w14:val="tx1"/>
            </w14:solidFill>
          </w14:textFill>
        </w:rPr>
        <w:t>4</w:t>
      </w:r>
      <w:r>
        <w:rPr>
          <w:rFonts w:hint="eastAsia" w:ascii="Times New Roman" w:hAnsi="Times New Roman" w:eastAsia="仿宋_GB2312" w:cs="Times New Roman"/>
          <w:color w:val="000000" w:themeColor="text1"/>
          <w:spacing w:val="-4"/>
          <w:sz w:val="32"/>
          <w:szCs w:val="32"/>
          <w14:textFill>
            <w14:solidFill>
              <w14:schemeClr w14:val="tx1"/>
            </w14:solidFill>
          </w14:textFill>
        </w:rPr>
        <w:t>月教育部等八部门联合印发《新时代基础教育强师计划》，力求破解教师队伍建设的深层次矛盾，构建一套全口径、完整链条的教师队伍建设政策体系，系统提升我国教师的教书育人能力，全面推进高质量教师队伍建设。该方向课题重在探讨提升教师思想政治素质、师德师风水平和教育教学能力的方法路径，积极探索新时代基础教育教师队伍筑基提质、补短扶弱、做优建强的思路举措，通过课题研究为构建高水平教师教育体系提供基础经验和基本理论支撑。</w:t>
      </w: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参考课题如下：</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学校教师师德师风评价体系构建与运用路径研究</w:t>
      </w:r>
      <w:r>
        <w:rPr>
          <w:rFonts w:ascii="Times New Roman" w:hAnsi="Times New Roman" w:eastAsia="仿宋_GB2312"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新时代学校教师培养培训模式构建与实践研究</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强师计划</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下指向教师专业发展的校本教研实践探究</w:t>
      </w:r>
    </w:p>
    <w:p>
      <w:pPr>
        <w:spacing w:line="56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方向三：教育融媒体与舆论生态建设</w:t>
      </w: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党的二十大报告指出，要加强全媒体传播体系建设，塑造主流舆论新格局，巩固壮大奋进新时代的主流思想舆论。这一重大论断和战略部署，既为加强和改进教育新闻舆论工作指明了方向，同时也为新形势下推动媒体融合向纵深发展、建设一流新型教育主流媒体提供了遵循。教育融媒体兼具教育属性、媒体属性，是教育领域意识形态重要阵地，同样肩负着育人使命，必须发挥好育人作用。该方向课题重在研究如何更好地发挥教育融媒体平台的服务功能，塑造教育主流舆论新格局，引导家校社不同主体进一步增强育人意识、共建育人资源、提供育人支持；如何加强学校宣传阵地建设和管理，丰富政务服务、教育教学、社群交流等功能，推动教育系统宣传思想文化工作健康发展；如何关注、教育和引导广大青年学生正确使用媒介，学会用辩证思维客观分析、辨别纷繁复杂的媒介信息，帮助学生提升媒介能力素养，构建媒介素养教育良性生态圈。</w:t>
      </w:r>
      <w:r>
        <w:rPr>
          <w:rFonts w:ascii="Times New Roman" w:hAnsi="Times New Roman" w:eastAsia="仿宋_GB2312" w:cs="Times New Roman"/>
          <w:color w:val="000000" w:themeColor="text1"/>
          <w:spacing w:val="-4"/>
          <w:sz w:val="32"/>
          <w:szCs w:val="32"/>
          <w14:textFill>
            <w14:solidFill>
              <w14:schemeClr w14:val="tx1"/>
            </w14:solidFill>
          </w14:textFill>
        </w:rPr>
        <w:t xml:space="preserve">   </w:t>
      </w:r>
    </w:p>
    <w:p>
      <w:pPr>
        <w:spacing w:line="56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参考课题如下：</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融媒体时代培养学生媒介素养的教育内容、载体及机制研究</w:t>
      </w:r>
    </w:p>
    <w:p>
      <w:pPr>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全媒体时代教育舆论生态现状与治理策略研究</w:t>
      </w:r>
    </w:p>
    <w:p>
      <w:pPr>
        <w:ind w:firstLine="640" w:firstLineChars="200"/>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网络舆论生态下学校教育宣传工作发展模式的研究</w:t>
      </w:r>
      <w:r>
        <w:rPr>
          <w:rFonts w:ascii="Times New Roman" w:hAnsi="Times New Roman" w:eastAsia="仿宋_GB2312" w:cs="Times New Roman"/>
          <w:color w:val="000000" w:themeColor="text1"/>
          <w:sz w:val="32"/>
          <w:szCs w:val="32"/>
          <w14:textFill>
            <w14:solidFill>
              <w14:schemeClr w14:val="tx1"/>
            </w14:solidFill>
          </w14:textFill>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9925C5"/>
    <w:rsid w:val="07504EC1"/>
    <w:rsid w:val="274441F8"/>
    <w:rsid w:val="369925C5"/>
    <w:rsid w:val="45A620EA"/>
    <w:rsid w:val="5DFE6042"/>
    <w:rsid w:val="68A32539"/>
    <w:rsid w:val="796F1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2023-06-01T06:51:00Z</dcterms:created>
  <dc:creator>ming</dc:creator>
  <cp:lastModifiedBy>ming</cp:lastModifiedBy>
  <dcterms:modified xsi:type="dcterms:W3CDTF">2023-06-01T06:54:49Z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36BFB117FCC24054866805B0C8D63CB2</vt:lpwstr>
  </property>
</Properties>
</file>